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auto"/>
        <w:rPr>
          <w:rFonts w:ascii="Times New Roman"/>
          <w:spacing w:val="0"/>
          <w:sz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</w:pPr>
      <w:bookmarkStart w:id="0" w:name="_Toc447180162"/>
      <w:bookmarkStart w:id="1" w:name="_Toc468194840"/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spacing w:val="0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体育技能加试科目（</w:t>
      </w:r>
      <w:r>
        <w:rPr>
          <w:rFonts w:hint="eastAsia" w:ascii="黑体" w:eastAsia="黑体"/>
          <w:spacing w:val="0"/>
          <w:kern w:val="0"/>
          <w:sz w:val="36"/>
          <w:szCs w:val="36"/>
          <w:lang w:val="en-US" w:eastAsia="zh-CN"/>
        </w:rPr>
        <w:t>篮球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）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细则及评分标准</w:t>
      </w:r>
      <w:bookmarkEnd w:id="0"/>
      <w:bookmarkEnd w:id="1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textAlignment w:val="auto"/>
        <w:rPr>
          <w:rFonts w:hint="eastAsia" w:ascii="黑体" w:hAnsi="黑体" w:eastAsia="黑体" w:cs="黑体"/>
          <w:spacing w:val="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textAlignment w:val="auto"/>
        <w:rPr>
          <w:rFonts w:ascii="黑体" w:hAnsi="黑体" w:eastAsia="黑体" w:cs="黑体"/>
          <w:spacing w:val="0"/>
        </w:rPr>
      </w:pPr>
      <w:r>
        <w:rPr>
          <w:rFonts w:hint="eastAsia" w:ascii="黑体" w:hAnsi="黑体" w:eastAsia="黑体" w:cs="黑体"/>
          <w:spacing w:val="0"/>
        </w:rPr>
        <w:t>一、考核指标与所占分值(总分 100分)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305"/>
        <w:gridCol w:w="1023"/>
        <w:gridCol w:w="1430"/>
        <w:gridCol w:w="19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58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类别</w:t>
            </w:r>
          </w:p>
        </w:tc>
        <w:tc>
          <w:tcPr>
            <w:tcW w:w="1305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专项技术</w:t>
            </w:r>
          </w:p>
        </w:tc>
        <w:tc>
          <w:tcPr>
            <w:tcW w:w="1430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实战能力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1858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考核指标</w:t>
            </w:r>
          </w:p>
        </w:tc>
        <w:tc>
          <w:tcPr>
            <w:tcW w:w="1305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投篮</w:t>
            </w:r>
          </w:p>
        </w:tc>
        <w:tc>
          <w:tcPr>
            <w:tcW w:w="2453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多种变向运球上篮</w:t>
            </w:r>
          </w:p>
        </w:tc>
        <w:tc>
          <w:tcPr>
            <w:tcW w:w="1961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比赛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58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305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20 分</w:t>
            </w:r>
          </w:p>
        </w:tc>
        <w:tc>
          <w:tcPr>
            <w:tcW w:w="2453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20分</w:t>
            </w:r>
          </w:p>
        </w:tc>
        <w:tc>
          <w:tcPr>
            <w:tcW w:w="1961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60分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ascii="Arial Unicode MS"/>
          <w:spacing w:val="0"/>
          <w:sz w:val="1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firstLine="560" w:firstLineChars="200"/>
        <w:jc w:val="both"/>
        <w:textAlignment w:val="auto"/>
        <w:rPr>
          <w:rFonts w:hint="eastAsia" w:ascii="黑体" w:hAnsi="黑体" w:eastAsia="黑体" w:cs="黑体"/>
          <w:spacing w:val="0"/>
        </w:rPr>
      </w:pPr>
      <w:r>
        <w:rPr>
          <w:rFonts w:hint="eastAsia" w:ascii="黑体" w:hAnsi="黑体" w:eastAsia="黑体" w:cs="黑体"/>
          <w:spacing w:val="0"/>
        </w:rPr>
        <w:t>二、考试方法与评分标准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bookmarkStart w:id="2" w:name="（一）专项技术（160分）"/>
      <w:bookmarkEnd w:id="2"/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（一）专项技术（40 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投篮（20 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（1）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考试方法：如图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 所示，在以篮圈中心投影点为圆心，5.5 米为半径所划的弧线上设置五个投篮点 ( 球场两侧 0 度角处、两侧 45 度处和正面弧顶 )，考生可以在第 1投篮点至第 5 投篮点投篮,测试时间为 1 分钟。要求考生必须在弧线外投篮，球出手前双脚不得踩线，若踩线投中则计为无效投篮，不得分。自投自枪，每人测试 2 次，取最好成绩。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3949065</wp:posOffset>
            </wp:positionH>
            <wp:positionV relativeFrom="paragraph">
              <wp:posOffset>197485</wp:posOffset>
            </wp:positionV>
            <wp:extent cx="2143125" cy="2329815"/>
            <wp:effectExtent l="0" t="0" r="9525" b="1333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211455</wp:posOffset>
                </wp:positionV>
                <wp:extent cx="3051810" cy="246253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246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4319" w:type="dxa"/>
                              <w:jc w:val="center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208"/>
                              <w:gridCol w:w="1591"/>
                              <w:gridCol w:w="1520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Merge w:val="restart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W w:w="3111" w:type="dxa"/>
                                  <w:gridSpan w:val="2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成绩（个）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Merge w:val="continue"/>
                                  <w:tcBorders>
                                    <w:top w:val="nil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  <w:right w:val="single" w:color="000000" w:sz="4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single" w:color="000000" w:sz="18" w:space="0"/>
                                    <w:left w:val="single" w:color="000000" w:sz="4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女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tcBorders>
                                    <w:top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op w:val="single" w:color="000000" w:sz="18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single" w:color="000000" w:sz="18" w:space="0"/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tcBorders>
                                    <w:bottom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bottom w:val="single" w:color="000000" w:sz="18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  <w:bottom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3.75pt;margin-top:16.65pt;height:193.9pt;width:240.3pt;z-index:251660288;mso-width-relative:page;mso-height-relative:page;" filled="f" stroked="f" coordsize="21600,21600" o:gfxdata="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DlvRtkAAAAJAQAADwAAAAAAAAABACAAAAAiAAAAZHJzL2Rvd25yZXYu&#10;eG1sUEsBAhQAFAAAAAgAh07iQHIwUAHBAQAAgQMAAA4AAAAAAAAAAQAgAAAAKA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4319" w:type="dxa"/>
                        <w:jc w:val="center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208"/>
                        <w:gridCol w:w="1591"/>
                        <w:gridCol w:w="1520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vMerge w:val="restart"/>
                            <w:tcBorders>
                              <w:top w:val="single" w:color="000000" w:sz="18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分值</w:t>
                            </w:r>
                          </w:p>
                        </w:tc>
                        <w:tc>
                          <w:tcPr>
                            <w:tcW w:w="3111" w:type="dxa"/>
                            <w:gridSpan w:val="2"/>
                            <w:tcBorders>
                              <w:top w:val="single" w:color="000000" w:sz="18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成绩（个）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vMerge w:val="continue"/>
                            <w:tcBorders>
                              <w:top w:val="nil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91" w:type="dxa"/>
                            <w:tcBorders>
                              <w:top w:val="single" w:color="000000" w:sz="18" w:space="0"/>
                              <w:bottom w:val="single" w:color="000000" w:sz="18" w:space="0"/>
                              <w:right w:val="single" w:color="000000" w:sz="4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男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single" w:color="000000" w:sz="18" w:space="0"/>
                              <w:left w:val="single" w:color="000000" w:sz="4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女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tcBorders>
                              <w:top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op w:val="single" w:color="000000" w:sz="18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single" w:color="000000" w:sz="18" w:space="0"/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tcBorders>
                              <w:bottom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bottom w:val="single" w:color="000000" w:sz="18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  <w:bottom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）评分标准如下：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图 1 投篮场地示意图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  <w:sectPr>
          <w:footerReference r:id="rId3" w:type="default"/>
          <w:type w:val="continuous"/>
          <w:pgSz w:w="11910" w:h="16840"/>
          <w:pgMar w:top="1580" w:right="1580" w:bottom="960" w:left="1660" w:header="720" w:footer="771" w:gutter="0"/>
          <w:pgNumType w:start="1"/>
          <w:cols w:space="720" w:num="1"/>
        </w:sect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多种变向运球上篮（20 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考试方法：如图 2 所示，考生在球场端线中点外出发区持球站立，当其身体任意部位穿过端线外沿的垂直面时开始计时。考生用右手运球至①处，在①处做右手背后运球，换左手向②处运球，至②处做左手后转身运球，换右手运球至③处，在③处做右手胯下运球后右手上篮。球中篮后方可用左手运球返回③处，在③处做左手背后运球，换右手向②处运球，在②处做右手后转身运球，换左手向①处运球，在①处做左手胯下运球后左手上篮。球中后做同样的动作再重复一次，最后一次上篮命中后，  持球冲出端线，考生身体任意部位穿过端线外沿垂直面时停止计时，记录完成的时间。每人测试 2 次，取最好成绩。篮球场地上的标志①、②、③为以 40 厘米为半径的圆圈。①、③圆圈中心点到端线内沿的距离为 6 米，到边线内沿的距离为 2 米。②在中线上，到中圈中心点的距离为 2.8 米。考生在考试时必须任意一脚踩到圆圈线或圆圈内地面，方可运球变向，否则视为无效， 不予计分；运球上篮时必须投中，若球未投中仍继续带球前进，则视为无效，不予计分。 考生在运球行进的过程中不得违例，每次违例计时追加 1秒；必须使用规定的手上篮，错 1次，计时追加 1 秒；胯下变向运球时，必须从体前由内侧向外侧变向运球换手，且双脚不能离开地面，错 1 次计时追加 1 秒。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zh-CN" w:eastAsia="zh-CN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评分标准：见表 2。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bidi="ar-SA"/>
        </w:rPr>
        <w:drawing>
          <wp:inline distT="0" distB="0" distL="0" distR="0">
            <wp:extent cx="3752850" cy="1818640"/>
            <wp:effectExtent l="0" t="0" r="0" b="1016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图 2 多种变向运球上篮示意图</w:t>
      </w:r>
    </w:p>
    <w:p>
      <w:pPr>
        <w:pStyle w:val="4"/>
        <w:keepNext w:val="0"/>
        <w:keepLines w:val="0"/>
        <w:pageBreakBefore w:val="0"/>
        <w:widowControl w:val="0"/>
        <w:tabs>
          <w:tab w:val="left" w:pos="360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表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多种变向运球上篮评分表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46"/>
        <w:gridCol w:w="863"/>
        <w:gridCol w:w="44"/>
        <w:gridCol w:w="865"/>
        <w:gridCol w:w="45"/>
        <w:gridCol w:w="866"/>
        <w:gridCol w:w="42"/>
        <w:gridCol w:w="867"/>
        <w:gridCol w:w="42"/>
        <w:gridCol w:w="868"/>
        <w:gridCol w:w="43"/>
        <w:gridCol w:w="867"/>
        <w:gridCol w:w="41"/>
        <w:gridCol w:w="868"/>
        <w:gridCol w:w="40"/>
        <w:gridCol w:w="873"/>
        <w:gridCol w:w="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885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17" w:type="dxa"/>
            <w:gridSpan w:val="4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</w:tc>
        <w:tc>
          <w:tcPr>
            <w:tcW w:w="908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20" w:type="dxa"/>
            <w:gridSpan w:val="4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mc:AlternateContent>
                <mc:Choice Requires="wpg">
                  <w:drawing>
                    <wp:inline distT="0" distB="0" distL="114300" distR="114300">
                      <wp:extent cx="1176020" cy="6350"/>
                      <wp:effectExtent l="0" t="0" r="0" b="0"/>
                      <wp:docPr id="4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6020" cy="6350"/>
                                <a:chOff x="0" y="0"/>
                                <a:chExt cx="1852" cy="10"/>
                              </a:xfrm>
                              <a:effectLst/>
                            </wpg:grpSpPr>
                            <wps:wsp>
                              <wps:cNvPr id="2" name="直线 4"/>
                              <wps:cNvCnPr/>
                              <wps:spPr>
                                <a:xfrm>
                                  <a:off x="0" y="5"/>
                                  <a:ext cx="1852" cy="0"/>
                                </a:xfrm>
                                <a:prstGeom prst="line">
                                  <a:avLst/>
                                </a:prstGeom>
                                <a:ln w="6096" cap="flat" cmpd="sng">
                                  <a:solidFill>
                                    <a:srgbClr val="3BB4E7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3" o:spid="_x0000_s1026" o:spt="203" style="height:0.5pt;width:92.6pt;" coordsize="1852,10" o:gfxdata="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SLvv30wAAAAMBAAAPAAAA&#10;AAAAAAEAIAAAACIAAABkcnMvZG93bnJldi54bWxQSwECFAAUAAAACACHTuJAngEo5FMCAAAaBQAA&#10;DgAAAAAAAAABACAAAAAiAQAAZHJzL2Uyb0RvYy54bWxQSwUGAAAAAAYABgBZAQAA5wUAAAAA&#10;">
                      <o:lock v:ext="edit" aspectratio="f"/>
                      <v:line id="直线 4" o:spid="_x0000_s1026" o:spt="20" style="position:absolute;left:0;top:5;height:0;width:1852;" filled="f" stroked="t" coordsize="21600,21600" o:gfxdata="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J1V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48pt" color="#3BB4E7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92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  <w:tc>
          <w:tcPr>
            <w:tcW w:w="908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21" w:type="dxa"/>
            <w:gridSpan w:val="4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  <w:jc w:val="center"/>
        </w:trPr>
        <w:tc>
          <w:tcPr>
            <w:tcW w:w="885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D9EBF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</w:p>
        </w:tc>
        <w:tc>
          <w:tcPr>
            <w:tcW w:w="910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  <w:tc>
          <w:tcPr>
            <w:tcW w:w="908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</w:p>
        </w:tc>
        <w:tc>
          <w:tcPr>
            <w:tcW w:w="913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885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20</w:t>
            </w:r>
          </w:p>
        </w:tc>
        <w:tc>
          <w:tcPr>
            <w:tcW w:w="907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36.00</w:t>
            </w:r>
          </w:p>
        </w:tc>
        <w:tc>
          <w:tcPr>
            <w:tcW w:w="910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40.00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12.5</w:t>
            </w:r>
          </w:p>
        </w:tc>
        <w:tc>
          <w:tcPr>
            <w:tcW w:w="909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43.50</w:t>
            </w:r>
          </w:p>
        </w:tc>
        <w:tc>
          <w:tcPr>
            <w:tcW w:w="911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47.50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52.00</w:t>
            </w:r>
          </w:p>
        </w:tc>
        <w:tc>
          <w:tcPr>
            <w:tcW w:w="913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19.5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36.50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12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4.5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19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37.00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11.5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4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54.00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58.00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18.5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37.50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11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3.5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55.00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59.00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18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38.00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42.00</w:t>
            </w:r>
          </w:p>
        </w:tc>
        <w:tc>
          <w:tcPr>
            <w:tcW w:w="911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10.5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3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56.00</w:t>
            </w:r>
          </w:p>
        </w:tc>
        <w:tc>
          <w:tcPr>
            <w:tcW w:w="913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77" w:hRule="atLeast"/>
          <w:jc w:val="center"/>
        </w:trPr>
        <w:tc>
          <w:tcPr>
            <w:tcW w:w="839" w:type="dxa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17.5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38.50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42.50</w:t>
            </w:r>
          </w:p>
        </w:tc>
        <w:tc>
          <w:tcPr>
            <w:tcW w:w="911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57.00</w:t>
            </w:r>
          </w:p>
        </w:tc>
        <w:tc>
          <w:tcPr>
            <w:tcW w:w="913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61.00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17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39.00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9.5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58.00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16.5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39.50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9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59.00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16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8.5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15.5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8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0.5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61.00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41.00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11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7.5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0.1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62.00</w:t>
            </w:r>
          </w:p>
        </w:tc>
        <w:tc>
          <w:tcPr>
            <w:tcW w:w="913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77" w:hRule="atLeast"/>
          <w:jc w:val="center"/>
        </w:trPr>
        <w:tc>
          <w:tcPr>
            <w:tcW w:w="839" w:type="dxa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14.5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41.50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45.50</w:t>
            </w:r>
          </w:p>
        </w:tc>
        <w:tc>
          <w:tcPr>
            <w:tcW w:w="911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7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14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6.5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63.00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13.5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6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54.00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以上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713" w:hRule="atLeast"/>
          <w:jc w:val="center"/>
        </w:trPr>
        <w:tc>
          <w:tcPr>
            <w:tcW w:w="839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13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43.00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47.00</w:t>
            </w:r>
          </w:p>
        </w:tc>
        <w:tc>
          <w:tcPr>
            <w:tcW w:w="911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5.5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51.00</w:t>
            </w:r>
          </w:p>
        </w:tc>
        <w:tc>
          <w:tcPr>
            <w:tcW w:w="910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55.00</w:t>
            </w:r>
          </w:p>
        </w:tc>
        <w:tc>
          <w:tcPr>
            <w:tcW w:w="910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bookmarkStart w:id="4" w:name="_GoBack"/>
      <w:bookmarkStart w:id="3" w:name="（二）实战能力(140分)"/>
      <w:bookmarkEnd w:id="3"/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（二）实战能力(60 分)</w:t>
      </w:r>
    </w:p>
    <w:bookmarkEnd w:id="4"/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考试方法：按照篮球比赛规则，视考生人数分队进行比赛。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评分标准：考评员参照实战能力评分细则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表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3），独立对考生动作的正确、协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调、连贯程度，技、战术运用水平以及配合意识等</w:t>
      </w:r>
      <w:r>
        <w:rPr>
          <w:rFonts w:hint="eastAsia" w:ascii="仿宋_GB2312" w:hAnsi="仿宋_GB2312" w:eastAsia="仿宋_GB2312" w:cs="仿宋_GB2312"/>
          <w:color w:val="221F1F"/>
          <w:spacing w:val="-6"/>
          <w:sz w:val="28"/>
          <w:szCs w:val="28"/>
        </w:rPr>
        <w:t>方面进行综合评定。采用 60 分制评分， 分数至多可到小数点后 1 位。</w:t>
      </w:r>
    </w:p>
    <w:p>
      <w:pPr>
        <w:pStyle w:val="4"/>
        <w:keepNext w:val="0"/>
        <w:keepLines w:val="0"/>
        <w:pageBreakBefore w:val="0"/>
        <w:widowControl w:val="0"/>
        <w:tabs>
          <w:tab w:val="left" w:pos="360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表 3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 实战能力评分细则</w:t>
      </w:r>
    </w:p>
    <w:tbl>
      <w:tblPr>
        <w:tblStyle w:val="6"/>
        <w:tblW w:w="8539" w:type="dxa"/>
        <w:tblInd w:w="13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8"/>
        <w:gridCol w:w="6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528" w:type="dxa"/>
            <w:tcBorders>
              <w:top w:val="single" w:color="3BB4E7" w:sz="12" w:space="0"/>
              <w:bottom w:val="single" w:color="3BB4E7" w:sz="2" w:space="0"/>
            </w:tcBorders>
            <w:shd w:val="clear" w:color="auto" w:fill="B7DBF4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等级（分值范围）</w:t>
            </w:r>
          </w:p>
        </w:tc>
        <w:tc>
          <w:tcPr>
            <w:tcW w:w="6011" w:type="dxa"/>
            <w:tcBorders>
              <w:top w:val="single" w:color="3BB4E7" w:sz="12" w:space="0"/>
              <w:bottom w:val="single" w:color="3BB4E7" w:sz="2" w:space="0"/>
            </w:tcBorders>
            <w:shd w:val="clear" w:color="auto" w:fill="B7DBF4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评价标准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528" w:type="dxa"/>
            <w:tcBorders>
              <w:top w:val="single" w:color="3BB4E7" w:sz="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tcBorders>
              <w:top w:val="single" w:color="3BB4E7" w:sz="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优（60 ～ 50分）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动作正确，协调、连贯、实效；技术运用合理、运用效果好；战术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配合意识强、实战效果较好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良 ( 49～ 35 分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动作正确，协调；技术运用较合理、运用效果较好；战术配合意识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较强、实战效果较好。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中 ( 34～ 20 分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动作基本正确，协调；技术运用基本合理、运用效果一般；战术配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合意识一般、效果一般。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差 ( 19 分及以下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动作不正确，不协调；技术动作不合理、运用效果差；战术配合意</w:t>
            </w:r>
          </w:p>
        </w:tc>
      </w:tr>
      <w:tr>
        <w:trPr>
          <w:trHeight w:val="399" w:hRule="atLeast"/>
        </w:trPr>
        <w:tc>
          <w:tcPr>
            <w:tcW w:w="2528" w:type="dxa"/>
            <w:tcBorders>
              <w:bottom w:val="single" w:color="3BB4E7" w:sz="1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tcBorders>
              <w:bottom w:val="single" w:color="3BB4E7" w:sz="1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识差、效果较差。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</w:p>
    <w:sectPr>
      <w:pgSz w:w="11910" w:h="16840"/>
      <w:pgMar w:top="1420" w:right="1580" w:bottom="960" w:left="1660" w:header="0" w:footer="7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10062210</wp:posOffset>
              </wp:positionV>
              <wp:extent cx="109220" cy="1397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93.3pt;margin-top:792.3pt;height:11pt;width:8.6pt;mso-position-horizontal-relative:page;mso-position-vertical-relative:page;z-index:-251655168;mso-width-relative:page;mso-height-relative:page;" filled="f" stroked="f" coordsize="21600,21600" o:gfxdata="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e3ouf2QAAAA0BAAAPAAAAAAAAAAEAIAAAACIAAABkcnMvZG93bnJldi54bWxQ&#10;SwECFAAUAAAACACHTuJAmNeTp70BAAB/AwAADgAAAAAAAAABACAAAAAo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xMzFmZDE5MmVjZDhlNzY5NDBlZjM0MmU0YzY2YmEifQ=="/>
    <w:docVar w:name="KSO_WPS_MARK_KEY" w:val="62ebe2b2-34fb-4978-93f4-9cb8247325d2"/>
  </w:docVars>
  <w:rsids>
    <w:rsidRoot w:val="00C03B75"/>
    <w:rsid w:val="00025684"/>
    <w:rsid w:val="003F1011"/>
    <w:rsid w:val="005B3B01"/>
    <w:rsid w:val="00C03B75"/>
    <w:rsid w:val="00D227AF"/>
    <w:rsid w:val="1AD1200A"/>
    <w:rsid w:val="2A343E80"/>
    <w:rsid w:val="3C211B59"/>
    <w:rsid w:val="3E527DCA"/>
    <w:rsid w:val="475C7335"/>
    <w:rsid w:val="5F2B1033"/>
    <w:rsid w:val="6FB13E05"/>
    <w:rsid w:val="76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646"/>
      <w:outlineLvl w:val="0"/>
    </w:pPr>
    <w:rPr>
      <w:rFonts w:ascii="Arial Unicode MS" w:hAnsi="Arial Unicode MS" w:eastAsia="Arial Unicode MS" w:cs="Arial Unicode MS"/>
      <w:sz w:val="28"/>
      <w:szCs w:val="28"/>
    </w:rPr>
  </w:style>
  <w:style w:type="paragraph" w:styleId="3">
    <w:name w:val="heading 2"/>
    <w:basedOn w:val="1"/>
    <w:next w:val="1"/>
    <w:qFormat/>
    <w:uiPriority w:val="1"/>
    <w:pPr>
      <w:ind w:left="140"/>
      <w:outlineLvl w:val="1"/>
    </w:pPr>
    <w:rPr>
      <w:rFonts w:ascii="Arial Unicode MS" w:hAnsi="Arial Unicode MS" w:eastAsia="Arial Unicode MS" w:cs="Arial Unicode MS"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列出段落1"/>
    <w:basedOn w:val="1"/>
    <w:qFormat/>
    <w:uiPriority w:val="1"/>
    <w:pPr>
      <w:spacing w:before="22"/>
      <w:ind w:left="140" w:hanging="525"/>
    </w:pPr>
  </w:style>
  <w:style w:type="paragraph" w:customStyle="1" w:styleId="10">
    <w:name w:val="Table Paragraph"/>
    <w:basedOn w:val="1"/>
    <w:qFormat/>
    <w:uiPriority w:val="1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1345</Words>
  <Characters>1771</Characters>
  <Lines>15</Lines>
  <Paragraphs>4</Paragraphs>
  <TotalTime>5</TotalTime>
  <ScaleCrop>false</ScaleCrop>
  <LinksUpToDate>false</LinksUpToDate>
  <CharactersWithSpaces>1852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2024-03-08T11:56:00Z</dcterms:created>
  <dc:creator>Administrator</dc:creator>
  <cp:lastModifiedBy>三毛快印-店内营业微信</cp:lastModifiedBy>
  <dcterms:modified xsi:type="dcterms:W3CDTF">2024-03-12T09:08:45Z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2022-03-15T00:00:00Z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03D4DB03CA27411A893F1C8C3A35E86C_13</vt:lpwstr>
  </property>
</Properties>
</file>